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760" w:rsidRP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760">
        <w:rPr>
          <w:rFonts w:ascii="Times New Roman" w:hAnsi="Times New Roman" w:cs="Times New Roman"/>
          <w:b/>
          <w:sz w:val="28"/>
          <w:szCs w:val="28"/>
        </w:rPr>
        <w:t>Практическая СРО РК 1</w:t>
      </w:r>
    </w:p>
    <w:p w:rsidR="00B27760" w:rsidRP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760">
        <w:rPr>
          <w:rFonts w:ascii="Times New Roman" w:hAnsi="Times New Roman" w:cs="Times New Roman"/>
          <w:b/>
          <w:sz w:val="28"/>
          <w:szCs w:val="28"/>
        </w:rPr>
        <w:t xml:space="preserve">ОПРЕДЕЛЕНИЕ РАЗМЕРОВ ПОПЕРЕЧНОГО СЕЧЕНИЯ 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760">
        <w:rPr>
          <w:rFonts w:ascii="Times New Roman" w:hAnsi="Times New Roman" w:cs="Times New Roman"/>
          <w:b/>
          <w:sz w:val="28"/>
          <w:szCs w:val="28"/>
        </w:rPr>
        <w:t>СТВ</w:t>
      </w:r>
      <w:r w:rsidRPr="00B27760">
        <w:rPr>
          <w:rFonts w:ascii="Times New Roman" w:hAnsi="Times New Roman" w:cs="Times New Roman"/>
          <w:b/>
          <w:sz w:val="28"/>
          <w:szCs w:val="28"/>
        </w:rPr>
        <w:t>О</w:t>
      </w:r>
      <w:r w:rsidRPr="00B27760">
        <w:rPr>
          <w:rFonts w:ascii="Times New Roman" w:hAnsi="Times New Roman" w:cs="Times New Roman"/>
          <w:b/>
          <w:sz w:val="28"/>
          <w:szCs w:val="28"/>
        </w:rPr>
        <w:t>ЛА</w:t>
      </w:r>
    </w:p>
    <w:p w:rsidR="00B27760" w:rsidRP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Данные для расчета: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31"/>
        <w:gridCol w:w="2238"/>
        <w:gridCol w:w="2693"/>
        <w:gridCol w:w="2693"/>
      </w:tblGrid>
      <w:tr w:rsidR="00B27760" w:rsidRPr="00B27760" w:rsidTr="00444A69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анта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Глубина ствола,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производ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тельность рудника, млн. т</w:t>
            </w:r>
          </w:p>
        </w:tc>
        <w:tc>
          <w:tcPr>
            <w:tcW w:w="2693" w:type="dxa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Коэффициент кр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 xml:space="preserve">пости породы по шкале  </w:t>
            </w:r>
          </w:p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Протодьяк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27760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B27760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r w:rsidRPr="00B277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27760" w:rsidRPr="00B27760" w:rsidTr="00B27760">
        <w:tc>
          <w:tcPr>
            <w:tcW w:w="1131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8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2693" w:type="dxa"/>
            <w:vAlign w:val="center"/>
          </w:tcPr>
          <w:p w:rsidR="00B27760" w:rsidRP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693" w:type="dxa"/>
            <w:vAlign w:val="center"/>
          </w:tcPr>
          <w:p w:rsidR="00B27760" w:rsidRDefault="00B27760" w:rsidP="00B27760">
            <w:pPr>
              <w:tabs>
                <w:tab w:val="left" w:pos="27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P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задачи</w:t>
      </w:r>
      <w:bookmarkStart w:id="0" w:name="_GoBack"/>
      <w:bookmarkEnd w:id="0"/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формы сечения стволов обусловливается свойствами пересека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мых пород, сроком службы стволов, свойствами материалов крепи и др. В современном шахтном строительстве нашла основное применение не только в угольной, но также и горнорудной промышленности круглая форма ств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лов.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Площадь сечения стволов зависит от их назначения. Размеры сечения стволов, служащих для выдачи полезного ископаемого, зависят от произв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дительности шахты, газового режима её глубины разработки. Размеры сеч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материальных и вспомогательных стволов выбирают по основным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мерам подъемных сосудов, в которых будут производиться спуск и подъем рабочих, материалов и оборудования в вагонетках. Размеры сечения вент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ляционных стволов зависят от газового режима шахты и количества воздуха, необходимого для проветривания подземных выработок.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Размеры сечения ствола определяют графическим способом исходя из размеров и расположения подъемных сосудов, расстрелов, проводников, з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зоров между сосудами, между сосудами и крепью и других зазоров, регл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ментированных правилами безопасности в угольных и сланцевых шахтах, а также с учетом размещения лестничного отделения, ставов трубопроводов и кабелей.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Обоснование и выбор подъемного сосуда.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 данной годовой производительности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>
        <w:rPr>
          <w:rFonts w:ascii="Times New Roman" w:hAnsi="Times New Roman" w:cs="Times New Roman"/>
          <w:sz w:val="28"/>
          <w:szCs w:val="28"/>
        </w:rPr>
        <w:t>» определяется часовая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изводительность подъемной установки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ЧАС  </w:t>
      </w:r>
      <w:r>
        <w:rPr>
          <w:rFonts w:ascii="Times New Roman" w:hAnsi="Times New Roman" w:cs="Times New Roman"/>
          <w:sz w:val="28"/>
          <w:szCs w:val="28"/>
        </w:rPr>
        <w:t>в зависимости от режима раб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ты подъема и типа подъема часовая производительность: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двухскипового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подъема часовая производительность: </w:t>
      </w:r>
    </w:p>
    <w:p w:rsidR="00B27760" w:rsidRPr="00D1116A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32"/>
          <w:szCs w:val="32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Q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час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  <w:vertAlign w:val="subscript"/>
          </w:rPr>
          <m:t xml:space="preserve"> 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vertAlign w:val="subscript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vertAlign w:val="subscript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vertAlign w:val="subscript"/>
                  </w:rPr>
                  <m:t>С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  <w:vertAlign w:val="subscript"/>
                  </w:rPr>
                  <m:t>ск</m:t>
                </m:r>
              </m:sub>
            </m:sSub>
            <m:r>
              <w:rPr>
                <w:rFonts w:ascii="Cambria Math" w:hAnsi="Cambria Math" w:cs="Times New Roman"/>
                <w:sz w:val="32"/>
                <w:szCs w:val="32"/>
                <w:vertAlign w:val="subscript"/>
              </w:rPr>
              <m:t xml:space="preserve">∙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vertAlign w:val="subscript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  <w:vertAlign w:val="subscript"/>
                  </w:rPr>
                  <m:t>год</m:t>
                </m:r>
              </m:sub>
            </m:sSub>
            <m:r>
              <w:rPr>
                <w:rFonts w:ascii="Cambria Math" w:hAnsi="Cambria Math" w:cs="Times New Roman"/>
                <w:sz w:val="32"/>
                <w:szCs w:val="32"/>
                <w:vertAlign w:val="subscript"/>
              </w:rPr>
              <m:t xml:space="preserve"> 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  <w:vertAlign w:val="subscript"/>
                <w:lang w:val="en-US"/>
              </w:rPr>
              <m:t>B</m:t>
            </m:r>
            <m:r>
              <w:rPr>
                <w:rFonts w:ascii="Cambria Math" w:hAnsi="Cambria Math" w:cs="Times New Roman"/>
                <w:sz w:val="32"/>
                <w:szCs w:val="32"/>
                <w:vertAlign w:val="subscript"/>
              </w:rPr>
              <m:t>∙</m:t>
            </m:r>
            <m:r>
              <w:rPr>
                <w:rFonts w:ascii="Cambria Math" w:hAnsi="Cambria Math" w:cs="Times New Roman"/>
                <w:sz w:val="32"/>
                <w:szCs w:val="32"/>
                <w:vertAlign w:val="subscript"/>
                <w:lang w:val="en-US"/>
              </w:rPr>
              <m:t>t</m:t>
            </m:r>
          </m:den>
        </m:f>
      </m:oMath>
      <w:r w:rsidRPr="00E25264">
        <w:rPr>
          <w:rFonts w:ascii="Times New Roman" w:hAnsi="Times New Roman" w:cs="Times New Roman"/>
          <w:sz w:val="32"/>
          <w:szCs w:val="32"/>
          <w:vertAlign w:val="subscript"/>
        </w:rPr>
        <w:t xml:space="preserve"> ,  </w:t>
      </w:r>
      <w:r w:rsidRPr="00E25264">
        <w:rPr>
          <w:rFonts w:ascii="Times New Roman" w:hAnsi="Times New Roman" w:cs="Times New Roman"/>
          <w:sz w:val="24"/>
          <w:szCs w:val="24"/>
        </w:rPr>
        <w:t>т/ч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Times New Roman" w:hAnsi="Times New Roman" w:cs="Times New Roman"/>
                <w:sz w:val="28"/>
                <w:szCs w:val="28"/>
              </w:rPr>
              <m:t>час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  <w:vertAlign w:val="subscript"/>
          </w:rPr>
          <m:t xml:space="preserve"> 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  <w:vertAlign w:val="subscript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 xml:space="preserve"> 1.4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m:t>∙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2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m:t>∙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 xml:space="preserve"> </m:t>
            </m:r>
            <m:sSup>
              <m:sSupPr>
                <m:ctrl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  <m:t>6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300</m:t>
            </m:r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m:t>∙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18</m:t>
            </m:r>
          </m:den>
        </m:f>
        <m:r>
          <m:rPr>
            <m:sty m:val="p"/>
          </m:rPr>
          <w:rPr>
            <w:rFonts w:ascii="Cambria Math" w:hAnsi="Times New Roman" w:cs="Times New Roman"/>
            <w:sz w:val="28"/>
            <w:szCs w:val="28"/>
            <w:vertAlign w:val="subscript"/>
          </w:rPr>
          <m:t>=518,5</m:t>
        </m:r>
      </m:oMath>
      <w:r w:rsidRPr="00A51575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A51575">
        <w:rPr>
          <w:rFonts w:ascii="Times New Roman" w:hAnsi="Times New Roman" w:cs="Times New Roman"/>
          <w:sz w:val="24"/>
          <w:szCs w:val="24"/>
        </w:rPr>
        <w:t>т/ч,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1575">
        <w:rPr>
          <w:rFonts w:ascii="Times New Roman" w:hAnsi="Times New Roman" w:cs="Times New Roman"/>
          <w:sz w:val="28"/>
          <w:szCs w:val="28"/>
        </w:rPr>
        <w:t xml:space="preserve">где С = 1,4 – коэффициент </w:t>
      </w:r>
      <w:r>
        <w:rPr>
          <w:rFonts w:ascii="Times New Roman" w:hAnsi="Times New Roman" w:cs="Times New Roman"/>
          <w:sz w:val="28"/>
          <w:szCs w:val="28"/>
        </w:rPr>
        <w:t>резерва, учитывающий неравномерность посту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ления грузов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смены, подготовительно – заключительные операции и внеплановые внутрисменные простои; В = 300 – число рабочих дней в году;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18 ч – время работы подъема в сутки, ч ;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год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годовая производител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ность рудника – 2 млн. т.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Грузоподъемность одного скипа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двухскиповом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подъеме для верт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кальных шахт определяется по следующей формуле: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многоканатный подъем 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=1,3 ∙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Times New Roman" w:hAnsi="Times New Roman" w:cs="Times New Roman"/>
                <w:sz w:val="28"/>
                <w:szCs w:val="28"/>
              </w:rPr>
              <m:t>час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  <w:vertAlign w:val="subscript"/>
          </w:rPr>
          <m:t xml:space="preserve"> </m:t>
        </m:r>
        <m:rad>
          <m:radPr>
            <m:degHide m:val="1"/>
            <m:ctrlPr>
              <w:rPr>
                <w:rFonts w:ascii="Cambria Math" w:hAnsi="Cambria Math" w:cs="Times New Roman"/>
                <w:sz w:val="28"/>
                <w:szCs w:val="28"/>
                <w:vertAlign w:val="subscript"/>
              </w:rPr>
            </m:ctrlPr>
          </m:radPr>
          <m:deg>
            <m:ctrl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</m:ctrlPr>
          </m:deg>
          <m:e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  <m:t>Н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  <m:t>п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vertAlign w:val="subscript"/>
                  </w:rPr>
                  <m:t xml:space="preserve"> ,</m:t>
                </m:r>
              </m:sub>
            </m:sSub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кг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=1,3∙518,5√900=</m:t>
        </m:r>
      </m:oMath>
      <w:r>
        <w:rPr>
          <w:rFonts w:ascii="Times New Roman" w:hAnsi="Times New Roman" w:cs="Times New Roman"/>
          <w:sz w:val="28"/>
          <w:szCs w:val="28"/>
        </w:rPr>
        <w:t xml:space="preserve"> 20221 кг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Н</m:t>
            </m:r>
          </m:e>
          <m:sub>
            <w:proofErr w:type="gramStart"/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п</m:t>
            </m:r>
            <w:proofErr w:type="gramEnd"/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 xml:space="preserve"> </m:t>
            </m:r>
          </m:sub>
        </m:sSub>
      </m:oMath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высота подъема, м.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Н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п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 xml:space="preserve"> 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 xml:space="preserve">ш 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п.б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+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,</w:t>
      </w: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Н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>п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vertAlign w:val="subscript"/>
              </w:rPr>
              <m:t xml:space="preserve"> 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vertAlign w:val="subscript"/>
          </w:rPr>
          <m:t>=</m:t>
        </m:r>
      </m:oMath>
      <w:r>
        <w:rPr>
          <w:rFonts w:ascii="Times New Roman" w:hAnsi="Times New Roman" w:cs="Times New Roman"/>
          <w:sz w:val="28"/>
          <w:szCs w:val="28"/>
        </w:rPr>
        <w:t xml:space="preserve"> 900 + 30 + 20 = 950 м,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 xml:space="preserve">ш 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= 900 м – глубина шахты до разрабатываемого горизонта, м;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.б</m:t>
            </m:r>
            <w:proofErr w:type="gramEnd"/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= 30 м – высота приемного бункера, м;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= 20 м – опускание скипа ниже горизо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та для загрузки, м. 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рудных ша</w:t>
      </w:r>
      <w:proofErr w:type="gramStart"/>
      <w:r>
        <w:rPr>
          <w:rFonts w:ascii="Times New Roman" w:hAnsi="Times New Roman" w:cs="Times New Roman"/>
          <w:sz w:val="28"/>
          <w:szCs w:val="28"/>
        </w:rPr>
        <w:t>хт всл</w:t>
      </w:r>
      <w:proofErr w:type="gramEnd"/>
      <w:r>
        <w:rPr>
          <w:rFonts w:ascii="Times New Roman" w:hAnsi="Times New Roman" w:cs="Times New Roman"/>
          <w:sz w:val="28"/>
          <w:szCs w:val="28"/>
        </w:rPr>
        <w:t>едствие различной плотности руд и пород выбор конкретной марки скипа производится в следующем порядке: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Theme="majorHAnsi" w:cs="Times New Roman"/>
                <w:sz w:val="32"/>
                <w:szCs w:val="32"/>
              </w:rPr>
              <m:t>С</m:t>
            </m:r>
            <m:r>
              <w:rPr>
                <w:rFonts w:ascii="Cambria Math" w:hAnsiTheme="majorHAnsi" w:cs="Times New Roman"/>
                <w:sz w:val="32"/>
                <w:szCs w:val="32"/>
              </w:rPr>
              <m:t>.</m:t>
            </m:r>
            <m:r>
              <w:rPr>
                <w:rFonts w:ascii="Cambria Math" w:hAnsiTheme="majorHAnsi" w:cs="Times New Roman"/>
                <w:sz w:val="32"/>
                <w:szCs w:val="32"/>
              </w:rPr>
              <m:t>К</m:t>
            </m:r>
            <m:r>
              <w:rPr>
                <w:rFonts w:ascii="Cambria Math" w:hAnsiTheme="majorHAnsi" w:cs="Times New Roman"/>
                <w:sz w:val="32"/>
                <w:szCs w:val="32"/>
              </w:rPr>
              <m:t xml:space="preserve"> </m:t>
            </m:r>
          </m:sub>
        </m:sSub>
        <m:r>
          <w:rPr>
            <w:rFonts w:ascii="Cambria Math" w:hAnsiTheme="majorHAnsi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Theme="majorHAnsi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Theme="majorHAnsi" w:cs="Times New Roman"/>
                    <w:sz w:val="32"/>
                    <w:szCs w:val="32"/>
                  </w:rPr>
                  <m:t>гр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p</m:t>
                </m:r>
              </m:e>
              <m:sub>
                <m:r>
                  <w:rPr>
                    <w:rFonts w:ascii="Cambria Math" w:hAnsiTheme="majorHAnsi" w:cs="Times New Roman"/>
                    <w:sz w:val="32"/>
                    <w:szCs w:val="32"/>
                  </w:rPr>
                  <m:t>р</m:t>
                </m:r>
              </m:sub>
            </m:sSub>
          </m:den>
        </m:f>
        <m:r>
          <w:rPr>
            <w:rFonts w:ascii="Cambria Math" w:hAnsiTheme="majorHAnsi" w:cs="Times New Roman"/>
            <w:sz w:val="32"/>
            <w:szCs w:val="32"/>
          </w:rPr>
          <m:t>,</m:t>
        </m:r>
      </m:oMath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7760" w:rsidRPr="0050734F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m:oMath>
        <m:sSub>
          <m:sSub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Theme="majorHAnsi" w:cs="Times New Roman"/>
                <w:sz w:val="32"/>
                <w:szCs w:val="32"/>
              </w:rPr>
              <m:t>С</m:t>
            </m:r>
            <m:r>
              <w:rPr>
                <w:rFonts w:ascii="Cambria Math" w:hAnsiTheme="majorHAnsi" w:cs="Times New Roman"/>
                <w:sz w:val="32"/>
                <w:szCs w:val="32"/>
              </w:rPr>
              <m:t>.</m:t>
            </m:r>
            <m:r>
              <w:rPr>
                <w:rFonts w:ascii="Cambria Math" w:hAnsiTheme="majorHAnsi" w:cs="Times New Roman"/>
                <w:sz w:val="32"/>
                <w:szCs w:val="32"/>
              </w:rPr>
              <m:t>К</m:t>
            </m:r>
            <m:r>
              <w:rPr>
                <w:rFonts w:ascii="Cambria Math" w:hAnsiTheme="majorHAnsi" w:cs="Times New Roman"/>
                <w:sz w:val="32"/>
                <w:szCs w:val="32"/>
              </w:rPr>
              <m:t xml:space="preserve"> </m:t>
            </m:r>
          </m:sub>
        </m:sSub>
        <m:r>
          <w:rPr>
            <w:rFonts w:ascii="Cambria Math" w:hAnsiTheme="majorHAnsi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Theme="majorHAnsi" w:cs="Times New Roman"/>
                <w:sz w:val="32"/>
                <w:szCs w:val="32"/>
              </w:rPr>
              <m:t>18</m:t>
            </m:r>
          </m:num>
          <m:den>
            <m:r>
              <w:rPr>
                <w:rFonts w:ascii="Cambria Math" w:hAnsiTheme="majorHAnsi" w:cs="Times New Roman"/>
                <w:sz w:val="32"/>
                <w:szCs w:val="32"/>
              </w:rPr>
              <m:t>2,5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</m:oMath>
      <w:r>
        <w:rPr>
          <w:rFonts w:ascii="Times New Roman" w:hAnsi="Times New Roman" w:cs="Times New Roman"/>
          <w:sz w:val="32"/>
          <w:szCs w:val="32"/>
        </w:rPr>
        <w:t xml:space="preserve"> 7,2 м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3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p</m:t>
            </m:r>
          </m:e>
          <m:sub>
            <w:proofErr w:type="gramStart"/>
            <m:r>
              <w:rPr>
                <w:rFonts w:ascii="Cambria Math" w:hAnsiTheme="majorHAnsi" w:cs="Times New Roman"/>
                <w:sz w:val="32"/>
                <w:szCs w:val="32"/>
              </w:rPr>
              <m:t>р</m:t>
            </m:r>
            <w:proofErr w:type="gramEnd"/>
          </m:sub>
        </m:sSub>
      </m:oMath>
      <w:r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плотность руды (породы) в различном состоянии, кг/м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m:oMath>
        <m:sSub>
          <m:sSub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p</m:t>
            </m:r>
          </m:e>
          <m:sub>
            <m:r>
              <w:rPr>
                <w:rFonts w:ascii="Cambria Math" w:hAnsiTheme="majorHAnsi" w:cs="Times New Roman"/>
                <w:sz w:val="32"/>
                <w:szCs w:val="32"/>
              </w:rPr>
              <m:t>р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 xml:space="preserve">= </m:t>
        </m:r>
        <m:f>
          <m:fPr>
            <m:ctrlPr>
              <w:rPr>
                <w:rFonts w:ascii="Cambria Math" w:hAnsi="Cambria Math" w:cs="Times New Roman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р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м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р</m:t>
                </m:r>
              </m:sub>
            </m:sSub>
          </m:den>
        </m:f>
        <m:r>
          <m:rPr>
            <m:sty m:val="p"/>
          </m:rPr>
          <w:rPr>
            <w:rFonts w:ascii="Cambria Math" w:hAnsi="Times New Roman" w:cs="Times New Roman"/>
            <w:sz w:val="32"/>
            <w:szCs w:val="32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=</m:t>
        </m:r>
      </m:oMath>
      <w:r>
        <w:rPr>
          <w:rFonts w:ascii="Times New Roman" w:hAnsi="Times New Roman" w:cs="Times New Roman"/>
          <w:sz w:val="32"/>
          <w:szCs w:val="32"/>
        </w:rPr>
        <w:t xml:space="preserve"> 2,5кг/м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3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р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м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 xml:space="preserve"> </m:t>
        </m:r>
      </m:oMath>
      <w:r>
        <w:rPr>
          <w:rFonts w:ascii="Times New Roman" w:hAnsi="Times New Roman" w:cs="Times New Roman"/>
          <w:sz w:val="28"/>
          <w:szCs w:val="28"/>
        </w:rPr>
        <w:t>– плотность  руды (породы) в массиве, т/м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К</m:t>
            </m:r>
          </m:e>
          <m:sub>
            <w:proofErr w:type="gramStart"/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р</m:t>
            </m:r>
            <w:proofErr w:type="gramEnd"/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=</m:t>
        </m:r>
      </m:oMath>
      <w:r>
        <w:rPr>
          <w:rFonts w:ascii="Times New Roman" w:hAnsi="Times New Roman" w:cs="Times New Roman"/>
          <w:sz w:val="32"/>
          <w:szCs w:val="32"/>
        </w:rPr>
        <w:t xml:space="preserve"> 1,5 – </w:t>
      </w:r>
      <w:r w:rsidRPr="003A49C4">
        <w:rPr>
          <w:rFonts w:ascii="Times New Roman" w:hAnsi="Times New Roman" w:cs="Times New Roman"/>
          <w:sz w:val="28"/>
          <w:szCs w:val="28"/>
        </w:rPr>
        <w:t>коэффициент разры</w:t>
      </w:r>
      <w:r>
        <w:rPr>
          <w:rFonts w:ascii="Times New Roman" w:hAnsi="Times New Roman" w:cs="Times New Roman"/>
          <w:sz w:val="28"/>
          <w:szCs w:val="28"/>
        </w:rPr>
        <w:t>хления руды(породы).</w:t>
      </w: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По расчетному значению  </w:t>
      </w:r>
      <m:oMath>
        <m:sSub>
          <m:sSubPr>
            <m:ctrlPr>
              <w:rPr>
                <w:rFonts w:ascii="Cambria Math" w:hAnsiTheme="majorHAnsi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Theme="majorHAnsi" w:cs="Times New Roman"/>
                <w:sz w:val="32"/>
                <w:szCs w:val="32"/>
              </w:rPr>
              <m:t>С</m:t>
            </m:r>
            <m:r>
              <w:rPr>
                <w:rFonts w:ascii="Cambria Math" w:hAnsiTheme="majorHAnsi" w:cs="Times New Roman"/>
                <w:sz w:val="32"/>
                <w:szCs w:val="32"/>
              </w:rPr>
              <m:t>.</m:t>
            </m:r>
            <w:proofErr w:type="gramStart"/>
            <m:r>
              <w:rPr>
                <w:rFonts w:ascii="Cambria Math" w:hAnsiTheme="majorHAnsi" w:cs="Times New Roman"/>
                <w:sz w:val="32"/>
                <w:szCs w:val="32"/>
              </w:rPr>
              <m:t>К</m:t>
            </m:r>
            <w:proofErr w:type="gramEnd"/>
            <m:r>
              <w:rPr>
                <w:rFonts w:ascii="Cambria Math" w:hAnsiTheme="majorHAnsi" w:cs="Times New Roman"/>
                <w:sz w:val="32"/>
                <w:szCs w:val="32"/>
              </w:rPr>
              <m:t xml:space="preserve"> </m:t>
            </m:r>
          </m:sub>
        </m:sSub>
        <m:r>
          <w:rPr>
            <w:rFonts w:ascii="Cambria Math" w:hAnsiTheme="majorHAnsi" w:cs="Times New Roman"/>
            <w:sz w:val="32"/>
            <w:szCs w:val="32"/>
          </w:rPr>
          <m:t xml:space="preserve"> </m:t>
        </m:r>
      </m:oMath>
      <w:r>
        <w:rPr>
          <w:rFonts w:ascii="Times New Roman" w:hAnsi="Times New Roman" w:cs="Times New Roman"/>
          <w:sz w:val="32"/>
          <w:szCs w:val="32"/>
        </w:rPr>
        <w:t xml:space="preserve"> выбираем скип  </w:t>
      </w:r>
      <w:r w:rsidRPr="003A49C4">
        <w:rPr>
          <w:rFonts w:ascii="Times New Roman" w:eastAsia="TimesNewRomanPSMT" w:hAnsi="Times New Roman" w:cs="Times New Roman"/>
          <w:sz w:val="28"/>
          <w:szCs w:val="28"/>
        </w:rPr>
        <w:t>С – 7HM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Вместимость,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9,5 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Размеры в плане, </w:t>
      </w:r>
      <w:proofErr w:type="gramStart"/>
      <w:r>
        <w:rPr>
          <w:rFonts w:ascii="Times New Roman" w:hAnsi="Times New Roman" w:cs="Times New Roman"/>
          <w:sz w:val="28"/>
          <w:szCs w:val="28"/>
        </w:rPr>
        <w:t>мм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  </w:t>
      </w: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длина                                                                           1540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ширина                                                                        1780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ind w:firstLine="567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Масса, </w:t>
      </w:r>
      <w:proofErr w:type="gramStart"/>
      <w:r>
        <w:rPr>
          <w:rFonts w:ascii="Times New Roman" w:hAnsi="Times New Roman" w:cs="Times New Roman"/>
          <w:sz w:val="28"/>
          <w:szCs w:val="28"/>
        </w:rPr>
        <w:t>кг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Pr="00F0509F">
        <w:rPr>
          <w:rFonts w:ascii="Times New Roman" w:eastAsia="TimesNewRomanPSMT" w:hAnsi="Times New Roman" w:cs="Times New Roman"/>
          <w:sz w:val="28"/>
          <w:szCs w:val="28"/>
        </w:rPr>
        <w:t>10920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ind w:firstLine="567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Высота в положении разгрузки (условная),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мм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       10000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ind w:firstLine="567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Путь разгрузки,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мм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                                                      2400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Определяем фактическую грузоподъемность скипа:</w:t>
      </w: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  <w:tab w:val="left" w:pos="619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гр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ф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 xml:space="preserve">=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К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з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∙</m:t>
          </m:r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СК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ф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∙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Р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разр</m:t>
              </m:r>
            </m:sub>
          </m:sSub>
        </m:oMath>
      </m:oMathPara>
    </w:p>
    <w:p w:rsidR="00B27760" w:rsidRPr="00F0509F" w:rsidRDefault="00B27760" w:rsidP="00B27760">
      <w:pPr>
        <w:tabs>
          <w:tab w:val="left" w:pos="2790"/>
          <w:tab w:val="left" w:pos="619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гр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ф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=0,88∙9,5∙2,5=</m:t>
        </m:r>
      </m:oMath>
      <w:r>
        <w:rPr>
          <w:rFonts w:ascii="Times New Roman" w:hAnsi="Times New Roman" w:cs="Times New Roman"/>
          <w:sz w:val="28"/>
          <w:szCs w:val="28"/>
        </w:rPr>
        <w:t xml:space="preserve"> 20.9 т</w:t>
      </w: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 определения размеров сечения ствола графическим способом (рис. 1) на бумагу в масштабе наносят сетку расстрелов и располагают оборудов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(подъемные сосуды, лестничные и трубное отделения) с учетом необх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димых зазоров. Вокруг этого оборудования описывают окружность с учетом зазоров между крепью и сосудами. </w:t>
      </w:r>
    </w:p>
    <w:p w:rsidR="00B27760" w:rsidRDefault="00B27760" w:rsidP="00B27760">
      <w:pPr>
        <w:tabs>
          <w:tab w:val="left" w:pos="27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E502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54E1860" wp14:editId="2009D8EB">
            <wp:extent cx="3771900" cy="3758477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3570" t="20299" r="31374" b="19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758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Рисунок 1 – Графическое определение диаметра ствола</w:t>
      </w:r>
    </w:p>
    <w:p w:rsidR="00B27760" w:rsidRDefault="00B27760" w:rsidP="00B27760">
      <w:pPr>
        <w:tabs>
          <w:tab w:val="left" w:pos="279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7760" w:rsidRDefault="00B27760" w:rsidP="00B27760">
      <w:pPr>
        <w:tabs>
          <w:tab w:val="left" w:pos="27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этого необходимо найти три точи, не лежащие на одной прямой и находящиеся в одной горизонтальной плоскости, так как только в этом сл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чае можно провести единственную окружность, которая будет искомой. 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кими точками могут быть точки, отстоящие от выступающих частей обор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дования (обычно углов скипов, клетей) на расстоянии не менее 150 мм, а также точка, отстоящая на 1,5 - 1,57 м от середины расстрела, отделяющего лестничное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трубокабельное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отделение. Затем согласно принятому масшт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бу определяют диаметр  этой окружности, т.е. диаметр ствола в свету. По этому диаметру принимают ближайшее большое типовое сечение ствола, 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торое проверяют на скорость движения воздуха. Это сечение не должно пр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вышать норм, установленных ПБ.</w:t>
      </w:r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2BB"/>
    <w:rsid w:val="00466553"/>
    <w:rsid w:val="007B5DC0"/>
    <w:rsid w:val="00B27760"/>
    <w:rsid w:val="00CA4544"/>
    <w:rsid w:val="00EF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7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760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277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7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760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277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2017-01-25T08:38:00Z</dcterms:created>
  <dcterms:modified xsi:type="dcterms:W3CDTF">2017-01-25T08:48:00Z</dcterms:modified>
</cp:coreProperties>
</file>